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AEFF36">
      <w:pPr>
        <w:pBdr>
          <w:between w:val="single" w:color="auto" w:sz="4" w:space="1"/>
        </w:pBdr>
        <w:snapToGrid w:val="0"/>
        <w:spacing w:line="1000" w:lineRule="exact"/>
        <w:jc w:val="center"/>
        <w:rPr>
          <w:rFonts w:ascii="Times New Roman" w:hAnsi="Times New Roman" w:eastAsia="华文中宋"/>
          <w:b/>
          <w:color w:val="FF0000"/>
          <w:sz w:val="72"/>
          <w:szCs w:val="72"/>
        </w:rPr>
      </w:pPr>
      <w:r>
        <w:rPr>
          <w:rFonts w:ascii="Times New Roman" w:hAnsi="Times New Roman" w:eastAsia="华文中宋"/>
          <w:b/>
          <w:color w:val="FF0000"/>
          <w:sz w:val="72"/>
          <w:szCs w:val="72"/>
        </w:rPr>
        <w:t>中国农业绿色发展研究会</w:t>
      </w:r>
    </w:p>
    <w:tbl>
      <w:tblPr>
        <w:tblStyle w:val="7"/>
        <w:tblpPr w:leftFromText="180" w:rightFromText="180" w:vertAnchor="text" w:horzAnchor="margin" w:tblpY="582"/>
        <w:tblW w:w="8436" w:type="dxa"/>
        <w:tblInd w:w="0" w:type="dxa"/>
        <w:tblBorders>
          <w:top w:val="single" w:color="FF0000" w:sz="12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36"/>
      </w:tblGrid>
      <w:tr w14:paraId="6A9BC20E">
        <w:tblPrEx>
          <w:tblBorders>
            <w:top w:val="single" w:color="FF0000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8436" w:type="dxa"/>
            <w:tcBorders>
              <w:top w:val="single" w:color="FF0000" w:sz="12" w:space="0"/>
            </w:tcBorders>
          </w:tcPr>
          <w:p w14:paraId="4A81A4CA">
            <w:pPr>
              <w:pBdr>
                <w:between w:val="single" w:color="auto" w:sz="4" w:space="1"/>
              </w:pBdr>
              <w:snapToGrid w:val="0"/>
              <w:spacing w:line="840" w:lineRule="exact"/>
              <w:jc w:val="right"/>
              <w:rPr>
                <w:rFonts w:ascii="Times New Roman" w:hAnsi="Times New Roman" w:eastAsia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农绿（培）〔2026〕7号</w:t>
            </w:r>
          </w:p>
        </w:tc>
      </w:tr>
    </w:tbl>
    <w:p w14:paraId="747089C5">
      <w:pPr>
        <w:pBdr>
          <w:between w:val="single" w:color="auto" w:sz="4" w:space="1"/>
        </w:pBdr>
        <w:spacing w:line="360" w:lineRule="auto"/>
        <w:ind w:firstLine="200" w:firstLineChars="200"/>
        <w:rPr>
          <w:rFonts w:ascii="Times New Roman" w:hAnsi="Times New Roman"/>
          <w:sz w:val="10"/>
          <w:szCs w:val="10"/>
        </w:rPr>
      </w:pPr>
    </w:p>
    <w:p w14:paraId="3DBE940F">
      <w:pPr>
        <w:widowControl/>
        <w:spacing w:line="560" w:lineRule="exact"/>
        <w:jc w:val="center"/>
        <w:rPr>
          <w:rFonts w:ascii="Times New Roman" w:hAnsi="Times New Roman" w:eastAsia="方正小标宋简体"/>
          <w:kern w:val="0"/>
          <w:sz w:val="36"/>
          <w:szCs w:val="36"/>
        </w:rPr>
      </w:pPr>
      <w:bookmarkStart w:id="0" w:name="OLE_LINK20"/>
      <w:bookmarkStart w:id="1" w:name="OLE_LINK21"/>
      <w:bookmarkStart w:id="2" w:name="OLE_LINK1"/>
      <w:r>
        <w:rPr>
          <w:rFonts w:hint="eastAsia" w:ascii="Times New Roman" w:hAnsi="Times New Roman" w:eastAsia="方正小标宋简体"/>
          <w:kern w:val="0"/>
          <w:sz w:val="36"/>
          <w:szCs w:val="36"/>
        </w:rPr>
        <w:t>中国农业绿色发展研究会</w:t>
      </w:r>
      <w:r>
        <w:rPr>
          <w:rFonts w:ascii="Times New Roman" w:hAnsi="Times New Roman" w:eastAsia="方正小标宋简体"/>
          <w:kern w:val="0"/>
          <w:sz w:val="36"/>
          <w:szCs w:val="36"/>
        </w:rPr>
        <w:t>关于2026年第</w:t>
      </w:r>
      <w:r>
        <w:rPr>
          <w:rFonts w:hint="eastAsia" w:ascii="Times New Roman" w:hAnsi="Times New Roman" w:eastAsia="方正小标宋简体"/>
          <w:kern w:val="0"/>
          <w:sz w:val="36"/>
          <w:szCs w:val="36"/>
          <w:lang w:val="en-US" w:eastAsia="zh-CN"/>
        </w:rPr>
        <w:t>二</w:t>
      </w:r>
      <w:r>
        <w:rPr>
          <w:rFonts w:ascii="Times New Roman" w:hAnsi="Times New Roman" w:eastAsia="方正小标宋简体"/>
          <w:kern w:val="0"/>
          <w:sz w:val="36"/>
          <w:szCs w:val="36"/>
        </w:rPr>
        <w:t>批</w:t>
      </w:r>
      <w:r>
        <w:rPr>
          <w:rFonts w:hint="eastAsia" w:ascii="Times New Roman" w:hAnsi="Times New Roman" w:eastAsia="方正小标宋简体"/>
          <w:kern w:val="0"/>
          <w:sz w:val="36"/>
          <w:szCs w:val="36"/>
          <w:lang w:val="en-US" w:eastAsia="zh-CN"/>
        </w:rPr>
        <w:t>12</w:t>
      </w:r>
      <w:r>
        <w:rPr>
          <w:rFonts w:ascii="Times New Roman" w:hAnsi="Times New Roman" w:eastAsia="方正小标宋简体"/>
          <w:kern w:val="0"/>
          <w:sz w:val="36"/>
          <w:szCs w:val="36"/>
        </w:rPr>
        <w:t>项</w:t>
      </w:r>
    </w:p>
    <w:p w14:paraId="1C623FFB">
      <w:pPr>
        <w:widowControl/>
        <w:spacing w:line="560" w:lineRule="exact"/>
        <w:jc w:val="center"/>
        <w:rPr>
          <w:rFonts w:ascii="Times New Roman" w:hAnsi="Times New Roman" w:eastAsia="方正小标宋简体"/>
          <w:kern w:val="0"/>
          <w:sz w:val="36"/>
          <w:szCs w:val="36"/>
        </w:rPr>
      </w:pPr>
      <w:r>
        <w:rPr>
          <w:rFonts w:ascii="Times New Roman" w:hAnsi="Times New Roman" w:eastAsia="方正小标宋简体"/>
          <w:kern w:val="0"/>
          <w:sz w:val="36"/>
          <w:szCs w:val="36"/>
        </w:rPr>
        <w:t>团体标准立项的</w:t>
      </w:r>
      <w:r>
        <w:rPr>
          <w:rFonts w:hint="eastAsia" w:ascii="Times New Roman" w:hAnsi="Times New Roman" w:eastAsia="方正小标宋简体"/>
          <w:kern w:val="0"/>
          <w:sz w:val="36"/>
          <w:szCs w:val="36"/>
        </w:rPr>
        <w:t>公示</w:t>
      </w:r>
    </w:p>
    <w:bookmarkEnd w:id="0"/>
    <w:bookmarkEnd w:id="1"/>
    <w:bookmarkEnd w:id="2"/>
    <w:p w14:paraId="003D4BF1">
      <w:pPr>
        <w:spacing w:line="560" w:lineRule="exact"/>
        <w:rPr>
          <w:rFonts w:ascii="Times New Roman" w:hAnsi="Times New Roman" w:eastAsia="仿宋"/>
          <w:b/>
          <w:sz w:val="32"/>
          <w:szCs w:val="32"/>
        </w:rPr>
      </w:pPr>
      <w:bookmarkStart w:id="3" w:name="OLE_LINK4"/>
      <w:bookmarkStart w:id="4" w:name="OLE_LINK7"/>
      <w:r>
        <w:rPr>
          <w:rFonts w:ascii="Times New Roman" w:hAnsi="Times New Roman" w:eastAsia="黑体"/>
          <w:bCs/>
          <w:sz w:val="32"/>
          <w:szCs w:val="32"/>
        </w:rPr>
        <w:t>各有关单位</w:t>
      </w:r>
      <w:r>
        <w:rPr>
          <w:rFonts w:ascii="Times New Roman" w:hAnsi="Times New Roman" w:eastAsia="仿宋"/>
          <w:b/>
          <w:sz w:val="32"/>
          <w:szCs w:val="32"/>
        </w:rPr>
        <w:t>：</w:t>
      </w:r>
    </w:p>
    <w:p w14:paraId="4A97022A">
      <w:pPr>
        <w:pStyle w:val="6"/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rPr>
          <w:rFonts w:ascii="Times New Roman" w:hAnsi="Times New Roman" w:eastAsia="仿宋" w:cs="Times New Roman"/>
          <w:color w:val="424849"/>
          <w:sz w:val="32"/>
          <w:szCs w:val="32"/>
        </w:rPr>
      </w:pPr>
      <w:r>
        <w:rPr>
          <w:rFonts w:ascii="Times New Roman" w:hAnsi="Times New Roman" w:eastAsia="仿宋" w:cs="Times New Roman"/>
          <w:color w:val="424849"/>
          <w:sz w:val="32"/>
          <w:szCs w:val="32"/>
        </w:rPr>
        <w:t>根据《中国农业绿色发展研究会团体标准暂行管理办法》的相关规定，经自愿申请，专家评审论证，</w:t>
      </w:r>
      <w:bookmarkStart w:id="5" w:name="OLE_LINK17"/>
      <w:bookmarkStart w:id="6" w:name="OLE_LINK19"/>
      <w:bookmarkStart w:id="7" w:name="OLE_LINK18"/>
      <w:r>
        <w:rPr>
          <w:rFonts w:hint="eastAsia" w:ascii="Times New Roman" w:hAnsi="Times New Roman" w:eastAsia="仿宋" w:cs="Times New Roman"/>
          <w:color w:val="424849"/>
          <w:sz w:val="32"/>
          <w:szCs w:val="32"/>
        </w:rPr>
        <w:t>《盐碱地农业综合开发利用区划技术指南》《西北内陆区盐碱地农业开发利用适宜性评价技术指南》等12项</w:t>
      </w:r>
      <w:r>
        <w:rPr>
          <w:rFonts w:ascii="Times New Roman" w:hAnsi="Times New Roman" w:eastAsia="仿宋" w:cs="Times New Roman"/>
          <w:color w:val="424849"/>
          <w:sz w:val="32"/>
          <w:szCs w:val="32"/>
        </w:rPr>
        <w:t>团体标准</w:t>
      </w:r>
      <w:bookmarkEnd w:id="5"/>
      <w:bookmarkEnd w:id="6"/>
      <w:bookmarkEnd w:id="7"/>
      <w:r>
        <w:rPr>
          <w:rFonts w:ascii="Times New Roman" w:hAnsi="Times New Roman" w:eastAsia="仿宋" w:cs="Times New Roman"/>
          <w:color w:val="424849"/>
          <w:sz w:val="32"/>
          <w:szCs w:val="32"/>
        </w:rPr>
        <w:t>立项，现予以公示，公示期为</w:t>
      </w:r>
      <w:r>
        <w:rPr>
          <w:rFonts w:hint="eastAsia" w:ascii="Times New Roman" w:hAnsi="Times New Roman" w:eastAsia="仿宋" w:cs="Times New Roman"/>
          <w:color w:val="424849"/>
          <w:sz w:val="32"/>
          <w:szCs w:val="32"/>
          <w:lang w:val="en-US" w:eastAsia="zh-CN"/>
        </w:rPr>
        <w:t>X</w:t>
      </w:r>
      <w:r>
        <w:rPr>
          <w:rFonts w:ascii="Times New Roman" w:hAnsi="Times New Roman" w:eastAsia="仿宋" w:cs="Times New Roman"/>
          <w:color w:val="424849"/>
          <w:sz w:val="32"/>
          <w:szCs w:val="32"/>
        </w:rPr>
        <w:t>月</w:t>
      </w:r>
      <w:r>
        <w:rPr>
          <w:rFonts w:hint="eastAsia" w:ascii="Times New Roman" w:hAnsi="Times New Roman" w:eastAsia="仿宋" w:cs="Times New Roman"/>
          <w:color w:val="424849"/>
          <w:sz w:val="32"/>
          <w:szCs w:val="32"/>
          <w:lang w:val="en-US" w:eastAsia="zh-CN"/>
        </w:rPr>
        <w:t>X</w:t>
      </w:r>
      <w:r>
        <w:rPr>
          <w:rFonts w:ascii="Times New Roman" w:hAnsi="Times New Roman" w:eastAsia="仿宋" w:cs="Times New Roman"/>
          <w:color w:val="424849"/>
          <w:sz w:val="32"/>
          <w:szCs w:val="32"/>
        </w:rPr>
        <w:t>日</w:t>
      </w:r>
      <w:r>
        <w:rPr>
          <w:rFonts w:hint="eastAsia" w:ascii="Times New Roman" w:hAnsi="Times New Roman" w:eastAsia="仿宋" w:cs="Times New Roman"/>
          <w:color w:val="424849"/>
          <w:sz w:val="32"/>
          <w:szCs w:val="32"/>
        </w:rPr>
        <w:t>至</w:t>
      </w:r>
      <w:r>
        <w:rPr>
          <w:rFonts w:hint="eastAsia" w:ascii="Times New Roman" w:hAnsi="Times New Roman" w:eastAsia="仿宋" w:cs="Times New Roman"/>
          <w:color w:val="424849"/>
          <w:sz w:val="32"/>
          <w:szCs w:val="32"/>
          <w:lang w:val="en-US" w:eastAsia="zh-CN"/>
        </w:rPr>
        <w:t>X</w:t>
      </w:r>
      <w:r>
        <w:rPr>
          <w:rFonts w:hint="eastAsia" w:ascii="Times New Roman" w:hAnsi="Times New Roman" w:eastAsia="仿宋" w:cs="Times New Roman"/>
          <w:color w:val="424849"/>
          <w:sz w:val="32"/>
          <w:szCs w:val="32"/>
        </w:rPr>
        <w:t>日</w:t>
      </w:r>
      <w:r>
        <w:rPr>
          <w:rFonts w:ascii="Times New Roman" w:hAnsi="Times New Roman" w:eastAsia="仿宋" w:cs="Times New Roman"/>
          <w:color w:val="424849"/>
          <w:sz w:val="32"/>
          <w:szCs w:val="32"/>
        </w:rPr>
        <w:t>。</w:t>
      </w:r>
    </w:p>
    <w:p w14:paraId="1E3AE625">
      <w:pPr>
        <w:pStyle w:val="6"/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rPr>
          <w:rFonts w:ascii="Times New Roman" w:hAnsi="Times New Roman" w:eastAsia="仿宋" w:cs="Times New Roman"/>
          <w:color w:val="424849"/>
          <w:sz w:val="32"/>
          <w:szCs w:val="32"/>
        </w:rPr>
      </w:pPr>
      <w:r>
        <w:rPr>
          <w:rFonts w:ascii="Times New Roman" w:hAnsi="Times New Roman" w:eastAsia="仿宋" w:cs="Times New Roman"/>
          <w:color w:val="424849"/>
          <w:sz w:val="32"/>
          <w:szCs w:val="32"/>
        </w:rPr>
        <w:t>请各</w:t>
      </w:r>
      <w:r>
        <w:rPr>
          <w:rFonts w:hint="eastAsia" w:ascii="Times New Roman" w:hAnsi="Times New Roman" w:eastAsia="仿宋" w:cs="Times New Roman"/>
          <w:color w:val="424849"/>
          <w:sz w:val="32"/>
          <w:szCs w:val="32"/>
        </w:rPr>
        <w:t>申报</w:t>
      </w:r>
      <w:r>
        <w:rPr>
          <w:rFonts w:ascii="Times New Roman" w:hAnsi="Times New Roman" w:eastAsia="仿宋" w:cs="Times New Roman"/>
          <w:color w:val="424849"/>
          <w:sz w:val="32"/>
          <w:szCs w:val="32"/>
        </w:rPr>
        <w:t>单位严格按照相关规定和要求组织开展团体标准制定工作，按时完成团体标准制定任务。同时欢迎与</w:t>
      </w:r>
      <w:r>
        <w:rPr>
          <w:rFonts w:hint="eastAsia" w:ascii="Times New Roman" w:hAnsi="Times New Roman" w:eastAsia="仿宋" w:cs="Times New Roman"/>
          <w:color w:val="424849"/>
          <w:sz w:val="32"/>
          <w:szCs w:val="32"/>
          <w:lang w:val="en-US" w:eastAsia="zh-CN"/>
        </w:rPr>
        <w:t>12</w:t>
      </w:r>
      <w:r>
        <w:rPr>
          <w:rFonts w:ascii="Times New Roman" w:hAnsi="Times New Roman" w:eastAsia="仿宋" w:cs="Times New Roman"/>
          <w:color w:val="424849"/>
          <w:sz w:val="32"/>
          <w:szCs w:val="32"/>
        </w:rPr>
        <w:t>项标准</w:t>
      </w:r>
      <w:r>
        <w:rPr>
          <w:rFonts w:hint="eastAsia" w:ascii="Times New Roman" w:hAnsi="Times New Roman" w:eastAsia="仿宋" w:cs="Times New Roman"/>
          <w:color w:val="424849"/>
          <w:sz w:val="32"/>
          <w:szCs w:val="32"/>
        </w:rPr>
        <w:t>相</w:t>
      </w:r>
      <w:r>
        <w:rPr>
          <w:rFonts w:ascii="Times New Roman" w:hAnsi="Times New Roman" w:eastAsia="仿宋" w:cs="Times New Roman"/>
          <w:color w:val="424849"/>
          <w:sz w:val="32"/>
          <w:szCs w:val="32"/>
        </w:rPr>
        <w:t>关的科研院所及高校、企事业单位等参与标准的起草制定工作，有意参与者请与</w:t>
      </w:r>
      <w:r>
        <w:rPr>
          <w:rFonts w:hint="eastAsia" w:ascii="Times New Roman" w:hAnsi="Times New Roman" w:eastAsia="仿宋" w:cs="Times New Roman"/>
          <w:color w:val="424849"/>
          <w:sz w:val="32"/>
          <w:szCs w:val="32"/>
        </w:rPr>
        <w:t>我</w:t>
      </w:r>
      <w:r>
        <w:rPr>
          <w:rFonts w:ascii="Times New Roman" w:hAnsi="Times New Roman" w:eastAsia="仿宋" w:cs="Times New Roman"/>
          <w:color w:val="424849"/>
          <w:sz w:val="32"/>
          <w:szCs w:val="32"/>
        </w:rPr>
        <w:t>会联系</w:t>
      </w:r>
      <w:r>
        <w:rPr>
          <w:rFonts w:hint="eastAsia" w:ascii="Times New Roman" w:hAnsi="Times New Roman" w:eastAsia="仿宋" w:cs="Times New Roman"/>
          <w:color w:val="424849"/>
          <w:sz w:val="32"/>
          <w:szCs w:val="32"/>
        </w:rPr>
        <w:t>。</w:t>
      </w:r>
    </w:p>
    <w:p w14:paraId="549BD5FC">
      <w:pPr>
        <w:pStyle w:val="6"/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rPr>
          <w:rFonts w:hint="default" w:ascii="Times New Roman" w:hAnsi="Times New Roman" w:eastAsia="仿宋" w:cs="Times New Roman"/>
          <w:color w:val="424849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color w:val="424849"/>
          <w:sz w:val="32"/>
          <w:szCs w:val="32"/>
        </w:rPr>
        <w:t>联 系 人：</w:t>
      </w:r>
      <w:r>
        <w:rPr>
          <w:rFonts w:hint="eastAsia" w:ascii="Times New Roman" w:hAnsi="Times New Roman" w:eastAsia="仿宋" w:cs="Times New Roman"/>
          <w:color w:val="424849"/>
          <w:sz w:val="32"/>
          <w:szCs w:val="32"/>
          <w:lang w:val="en-US" w:eastAsia="zh-CN"/>
        </w:rPr>
        <w:t>宝明涛、纪艳秋、李思涵</w:t>
      </w:r>
    </w:p>
    <w:p w14:paraId="796CF564">
      <w:pPr>
        <w:pStyle w:val="6"/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rPr>
          <w:rFonts w:ascii="Times New Roman" w:hAnsi="Times New Roman" w:eastAsia="仿宋" w:cs="Times New Roman"/>
          <w:color w:val="424849"/>
          <w:sz w:val="32"/>
          <w:szCs w:val="32"/>
        </w:rPr>
      </w:pPr>
      <w:r>
        <w:rPr>
          <w:rFonts w:hint="eastAsia" w:ascii="Times New Roman" w:hAnsi="Times New Roman" w:eastAsia="仿宋" w:cs="Times New Roman"/>
          <w:color w:val="424849"/>
          <w:sz w:val="32"/>
          <w:szCs w:val="32"/>
        </w:rPr>
        <w:t>联系</w:t>
      </w:r>
      <w:r>
        <w:rPr>
          <w:rFonts w:ascii="Times New Roman" w:hAnsi="Times New Roman" w:eastAsia="仿宋" w:cs="Times New Roman"/>
          <w:color w:val="424849"/>
          <w:sz w:val="32"/>
          <w:szCs w:val="32"/>
        </w:rPr>
        <w:t>电话：010-8210</w:t>
      </w:r>
      <w:r>
        <w:rPr>
          <w:rFonts w:hint="eastAsia" w:ascii="Times New Roman" w:hAnsi="Times New Roman" w:eastAsia="仿宋" w:cs="Times New Roman"/>
          <w:color w:val="424849"/>
          <w:sz w:val="32"/>
          <w:szCs w:val="32"/>
          <w:lang w:val="en-US" w:eastAsia="zh-CN"/>
        </w:rPr>
        <w:t>3212</w:t>
      </w:r>
      <w:r>
        <w:rPr>
          <w:rFonts w:ascii="Times New Roman" w:hAnsi="Times New Roman" w:eastAsia="仿宋" w:cs="Times New Roman"/>
          <w:color w:val="424849"/>
          <w:sz w:val="32"/>
          <w:szCs w:val="32"/>
        </w:rPr>
        <w:t xml:space="preserve">     邮箱：</w:t>
      </w:r>
      <w:r>
        <w:fldChar w:fldCharType="begin"/>
      </w:r>
      <w:r>
        <w:instrText xml:space="preserve"> HYPERLINK "mailto:lsfzyjh@caas.cn" </w:instrText>
      </w:r>
      <w:r>
        <w:fldChar w:fldCharType="separate"/>
      </w:r>
      <w:r>
        <w:rPr>
          <w:rFonts w:ascii="Times New Roman" w:hAnsi="Times New Roman" w:eastAsia="仿宋" w:cs="Times New Roman"/>
          <w:color w:val="424849"/>
          <w:sz w:val="32"/>
          <w:szCs w:val="32"/>
        </w:rPr>
        <w:t>lsfzyjh@caas.cn</w:t>
      </w:r>
      <w:r>
        <w:rPr>
          <w:rFonts w:ascii="Times New Roman" w:hAnsi="Times New Roman" w:eastAsia="仿宋" w:cs="Times New Roman"/>
          <w:color w:val="424849"/>
          <w:sz w:val="32"/>
          <w:szCs w:val="32"/>
        </w:rPr>
        <w:fldChar w:fldCharType="end"/>
      </w:r>
    </w:p>
    <w:p w14:paraId="5B4086D5">
      <w:pPr>
        <w:pStyle w:val="6"/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rPr>
          <w:rFonts w:ascii="Times New Roman" w:hAnsi="Times New Roman" w:eastAsia="仿宋" w:cs="Times New Roman"/>
          <w:color w:val="424849"/>
          <w:sz w:val="32"/>
          <w:szCs w:val="32"/>
        </w:rPr>
      </w:pPr>
    </w:p>
    <w:p w14:paraId="1FE4B2F2">
      <w:pPr>
        <w:pStyle w:val="6"/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rPr>
          <w:rFonts w:ascii="Times New Roman" w:hAnsi="Times New Roman" w:eastAsia="仿宋" w:cs="Times New Roman"/>
          <w:color w:val="424849"/>
          <w:sz w:val="32"/>
          <w:szCs w:val="32"/>
        </w:rPr>
      </w:pPr>
      <w:r>
        <w:rPr>
          <w:rFonts w:ascii="Times New Roman" w:hAnsi="Times New Roman" w:eastAsia="仿宋" w:cs="Times New Roman"/>
          <w:color w:val="424849"/>
          <w:sz w:val="32"/>
          <w:szCs w:val="32"/>
        </w:rPr>
        <w:t>附件：</w:t>
      </w:r>
      <w:r>
        <w:rPr>
          <w:rFonts w:hint="eastAsia" w:ascii="Times New Roman" w:hAnsi="Times New Roman" w:eastAsia="仿宋" w:cs="Times New Roman"/>
          <w:color w:val="424849"/>
          <w:sz w:val="32"/>
          <w:szCs w:val="32"/>
        </w:rPr>
        <w:t>202</w:t>
      </w:r>
      <w:r>
        <w:rPr>
          <w:rFonts w:ascii="Times New Roman" w:hAnsi="Times New Roman" w:eastAsia="仿宋" w:cs="Times New Roman"/>
          <w:color w:val="424849"/>
          <w:sz w:val="32"/>
          <w:szCs w:val="32"/>
        </w:rPr>
        <w:t>6</w:t>
      </w:r>
      <w:r>
        <w:rPr>
          <w:rFonts w:hint="eastAsia" w:ascii="Times New Roman" w:hAnsi="Times New Roman" w:eastAsia="仿宋" w:cs="Times New Roman"/>
          <w:color w:val="424849"/>
          <w:sz w:val="32"/>
          <w:szCs w:val="32"/>
        </w:rPr>
        <w:t>年第</w:t>
      </w:r>
      <w:r>
        <w:rPr>
          <w:rFonts w:hint="eastAsia" w:ascii="Times New Roman" w:hAnsi="Times New Roman" w:eastAsia="仿宋" w:cs="Times New Roman"/>
          <w:color w:val="424849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仿宋" w:cs="Times New Roman"/>
          <w:color w:val="424849"/>
          <w:sz w:val="32"/>
          <w:szCs w:val="32"/>
        </w:rPr>
        <w:t>批</w:t>
      </w:r>
      <w:r>
        <w:rPr>
          <w:rFonts w:hint="eastAsia" w:ascii="Times New Roman" w:hAnsi="Times New Roman" w:eastAsia="仿宋" w:cs="Times New Roman"/>
          <w:color w:val="424849"/>
          <w:sz w:val="32"/>
          <w:szCs w:val="32"/>
          <w:lang w:val="en-US" w:eastAsia="zh-CN"/>
        </w:rPr>
        <w:t>12</w:t>
      </w:r>
      <w:r>
        <w:rPr>
          <w:rFonts w:hint="eastAsia" w:ascii="Times New Roman" w:hAnsi="Times New Roman" w:eastAsia="仿宋" w:cs="Times New Roman"/>
          <w:color w:val="424849"/>
          <w:sz w:val="32"/>
          <w:szCs w:val="32"/>
        </w:rPr>
        <w:t>项团体标准</w:t>
      </w:r>
      <w:r>
        <w:rPr>
          <w:rFonts w:ascii="Times New Roman" w:hAnsi="Times New Roman" w:eastAsia="仿宋" w:cs="Times New Roman"/>
          <w:color w:val="424849"/>
          <w:sz w:val="32"/>
          <w:szCs w:val="32"/>
        </w:rPr>
        <w:t>立项清单</w:t>
      </w:r>
    </w:p>
    <w:p w14:paraId="622DDA93">
      <w:pPr>
        <w:pStyle w:val="6"/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rPr>
          <w:rFonts w:ascii="Times New Roman" w:hAnsi="Times New Roman" w:eastAsia="仿宋" w:cs="Times New Roman"/>
          <w:color w:val="424849"/>
          <w:sz w:val="32"/>
          <w:szCs w:val="32"/>
        </w:rPr>
      </w:pPr>
    </w:p>
    <w:p w14:paraId="144A186A">
      <w:pPr>
        <w:pStyle w:val="6"/>
        <w:shd w:val="clear" w:color="auto" w:fill="FFFFFF"/>
        <w:spacing w:before="0" w:beforeAutospacing="0" w:after="0" w:afterAutospacing="0" w:line="560" w:lineRule="exact"/>
        <w:ind w:firstLine="640" w:firstLineChars="200"/>
        <w:jc w:val="both"/>
        <w:rPr>
          <w:rFonts w:ascii="Times New Roman" w:hAnsi="Times New Roman" w:eastAsia="仿宋" w:cs="Times New Roman"/>
          <w:color w:val="424849"/>
          <w:sz w:val="32"/>
          <w:szCs w:val="32"/>
        </w:rPr>
      </w:pPr>
    </w:p>
    <w:p w14:paraId="23B1B207">
      <w:pPr>
        <w:pStyle w:val="6"/>
        <w:shd w:val="clear" w:color="auto" w:fill="FFFFFF"/>
        <w:spacing w:before="0" w:beforeAutospacing="0" w:after="0" w:afterAutospacing="0" w:line="560" w:lineRule="exact"/>
        <w:ind w:right="480"/>
        <w:jc w:val="right"/>
        <w:rPr>
          <w:rFonts w:ascii="Times New Roman" w:hAnsi="Times New Roman" w:eastAsia="仿宋" w:cs="Times New Roman"/>
          <w:color w:val="424849"/>
          <w:sz w:val="32"/>
          <w:szCs w:val="32"/>
        </w:rPr>
      </w:pPr>
      <w:r>
        <w:rPr>
          <w:rFonts w:ascii="Times New Roman" w:hAnsi="Times New Roman" w:eastAsia="仿宋" w:cs="Times New Roman"/>
          <w:color w:val="424849"/>
          <w:sz w:val="32"/>
          <w:szCs w:val="32"/>
        </w:rPr>
        <w:t>中国农业绿色发展研究会</w:t>
      </w:r>
    </w:p>
    <w:p w14:paraId="73076E49">
      <w:pPr>
        <w:pStyle w:val="6"/>
        <w:shd w:val="clear" w:color="auto" w:fill="FFFFFF"/>
        <w:spacing w:before="0" w:beforeAutospacing="0" w:after="0" w:afterAutospacing="0" w:line="560" w:lineRule="exact"/>
        <w:ind w:right="885"/>
        <w:jc w:val="right"/>
        <w:rPr>
          <w:rFonts w:ascii="Times New Roman" w:hAnsi="Times New Roman" w:eastAsia="仿宋" w:cs="Times New Roman"/>
          <w:color w:val="424849"/>
          <w:sz w:val="32"/>
          <w:szCs w:val="32"/>
        </w:rPr>
      </w:pPr>
      <w:r>
        <w:rPr>
          <w:rFonts w:ascii="Times New Roman" w:hAnsi="Times New Roman" w:eastAsia="仿宋" w:cs="Times New Roman"/>
          <w:color w:val="424849"/>
          <w:sz w:val="32"/>
          <w:szCs w:val="32"/>
        </w:rPr>
        <w:t>2026年7月</w:t>
      </w:r>
      <w:r>
        <w:rPr>
          <w:rFonts w:hint="eastAsia" w:ascii="Times New Roman" w:hAnsi="Times New Roman" w:eastAsia="仿宋" w:cs="Times New Roman"/>
          <w:color w:val="424849"/>
          <w:sz w:val="32"/>
          <w:szCs w:val="32"/>
          <w:lang w:val="en-US" w:eastAsia="zh-CN"/>
        </w:rPr>
        <w:t>X</w:t>
      </w:r>
      <w:r>
        <w:rPr>
          <w:rFonts w:ascii="Times New Roman" w:hAnsi="Times New Roman" w:eastAsia="仿宋" w:cs="Times New Roman"/>
          <w:color w:val="424849"/>
          <w:sz w:val="32"/>
          <w:szCs w:val="32"/>
        </w:rPr>
        <w:t>日</w:t>
      </w:r>
    </w:p>
    <w:p w14:paraId="2B80F93F">
      <w:pPr>
        <w:pStyle w:val="6"/>
        <w:shd w:val="clear" w:color="auto" w:fill="FFFFFF"/>
        <w:spacing w:before="0" w:beforeAutospacing="0" w:after="0" w:afterAutospacing="0" w:line="560" w:lineRule="exact"/>
        <w:ind w:right="885"/>
        <w:jc w:val="right"/>
        <w:rPr>
          <w:rFonts w:hint="eastAsia" w:ascii="Times New Roman" w:hAnsi="Times New Roman" w:eastAsia="仿宋" w:cs="Times New Roman"/>
          <w:color w:val="424849"/>
          <w:sz w:val="32"/>
          <w:szCs w:val="32"/>
        </w:rPr>
      </w:pPr>
    </w:p>
    <w:bookmarkEnd w:id="3"/>
    <w:bookmarkEnd w:id="4"/>
    <w:p w14:paraId="7F1EEC1D">
      <w:pPr>
        <w:spacing w:line="560" w:lineRule="exact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</w:p>
    <w:p w14:paraId="3A45F134">
      <w:pPr>
        <w:spacing w:before="468" w:beforeLines="150" w:after="312" w:afterLines="100" w:line="560" w:lineRule="exact"/>
        <w:jc w:val="center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202</w:t>
      </w:r>
      <w:r>
        <w:rPr>
          <w:rFonts w:ascii="黑体" w:hAnsi="黑体" w:eastAsia="黑体" w:cs="黑体"/>
          <w:bCs/>
          <w:sz w:val="32"/>
          <w:szCs w:val="32"/>
        </w:rPr>
        <w:t>6</w:t>
      </w:r>
      <w:r>
        <w:rPr>
          <w:rFonts w:hint="eastAsia" w:ascii="黑体" w:hAnsi="黑体" w:eastAsia="黑体" w:cs="黑体"/>
          <w:bCs/>
          <w:sz w:val="32"/>
          <w:szCs w:val="32"/>
        </w:rPr>
        <w:t>年第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bCs/>
          <w:sz w:val="32"/>
          <w:szCs w:val="32"/>
        </w:rPr>
        <w:t>批1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bCs/>
          <w:sz w:val="32"/>
          <w:szCs w:val="32"/>
        </w:rPr>
        <w:t>项团体标准立项清单</w:t>
      </w:r>
    </w:p>
    <w:tbl>
      <w:tblPr>
        <w:tblStyle w:val="8"/>
        <w:tblW w:w="8951" w:type="dxa"/>
        <w:tblInd w:w="1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"/>
        <w:gridCol w:w="7986"/>
      </w:tblGrid>
      <w:tr w14:paraId="6FD56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" w:type="dxa"/>
          </w:tcPr>
          <w:p w14:paraId="28431D93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序号</w:t>
            </w:r>
          </w:p>
        </w:tc>
        <w:tc>
          <w:tcPr>
            <w:tcW w:w="7986" w:type="dxa"/>
          </w:tcPr>
          <w:p w14:paraId="31D26765">
            <w:pPr>
              <w:spacing w:line="560" w:lineRule="exact"/>
              <w:jc w:val="center"/>
              <w:rPr>
                <w:rFonts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标准名称</w:t>
            </w:r>
          </w:p>
        </w:tc>
      </w:tr>
      <w:tr w14:paraId="30BEE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" w:type="dxa"/>
            <w:vAlign w:val="center"/>
          </w:tcPr>
          <w:p w14:paraId="684805B5">
            <w:pPr>
              <w:spacing w:line="560" w:lineRule="exact"/>
              <w:jc w:val="center"/>
              <w:rPr>
                <w:rFonts w:ascii="仿宋" w:hAnsi="仿宋" w:eastAsia="仿宋" w:cs="仿宋"/>
                <w:bCs/>
                <w:sz w:val="32"/>
                <w:szCs w:val="32"/>
              </w:rPr>
            </w:pPr>
            <w:bookmarkStart w:id="8" w:name="_Hlk203145729"/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1</w:t>
            </w:r>
          </w:p>
        </w:tc>
        <w:tc>
          <w:tcPr>
            <w:tcW w:w="7986" w:type="dxa"/>
          </w:tcPr>
          <w:p w14:paraId="2E0FD72F">
            <w:pPr>
              <w:spacing w:line="560" w:lineRule="exact"/>
              <w:jc w:val="left"/>
              <w:rPr>
                <w:rFonts w:hint="eastAsia"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《盐碱地农业综合开发利用区划技术指南》</w:t>
            </w:r>
          </w:p>
        </w:tc>
      </w:tr>
      <w:tr w14:paraId="4E493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" w:type="dxa"/>
            <w:vAlign w:val="center"/>
          </w:tcPr>
          <w:p w14:paraId="266A53DA">
            <w:pPr>
              <w:spacing w:line="560" w:lineRule="exact"/>
              <w:jc w:val="center"/>
              <w:rPr>
                <w:rFonts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2</w:t>
            </w:r>
          </w:p>
        </w:tc>
        <w:tc>
          <w:tcPr>
            <w:tcW w:w="7986" w:type="dxa"/>
          </w:tcPr>
          <w:p w14:paraId="581F92A2">
            <w:pPr>
              <w:spacing w:line="560" w:lineRule="exact"/>
              <w:jc w:val="left"/>
              <w:rPr>
                <w:rFonts w:hint="eastAsia"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w w:val="95"/>
                <w:sz w:val="32"/>
                <w:szCs w:val="32"/>
              </w:rPr>
              <w:t>《西北内陆区盐碱地农业开发利用适宜性评价技术指南》</w:t>
            </w:r>
          </w:p>
        </w:tc>
      </w:tr>
      <w:tr w14:paraId="670A2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</w:trPr>
        <w:tc>
          <w:tcPr>
            <w:tcW w:w="965" w:type="dxa"/>
            <w:vAlign w:val="center"/>
          </w:tcPr>
          <w:p w14:paraId="692E0C01">
            <w:pPr>
              <w:spacing w:line="560" w:lineRule="exact"/>
              <w:jc w:val="center"/>
              <w:rPr>
                <w:rFonts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3</w:t>
            </w:r>
          </w:p>
        </w:tc>
        <w:tc>
          <w:tcPr>
            <w:tcW w:w="7986" w:type="dxa"/>
          </w:tcPr>
          <w:p w14:paraId="268F6B0A">
            <w:pPr>
              <w:spacing w:line="560" w:lineRule="exact"/>
              <w:jc w:val="left"/>
              <w:rPr>
                <w:rFonts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《北方旱作区耕地土壤健康评价技术指南》</w:t>
            </w:r>
          </w:p>
        </w:tc>
      </w:tr>
      <w:tr w14:paraId="347648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" w:type="dxa"/>
            <w:vAlign w:val="center"/>
          </w:tcPr>
          <w:p w14:paraId="31B382C1">
            <w:pPr>
              <w:spacing w:line="560" w:lineRule="exact"/>
              <w:jc w:val="center"/>
              <w:rPr>
                <w:rFonts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4</w:t>
            </w:r>
          </w:p>
        </w:tc>
        <w:tc>
          <w:tcPr>
            <w:tcW w:w="7986" w:type="dxa"/>
          </w:tcPr>
          <w:p w14:paraId="4EABEB7F">
            <w:pPr>
              <w:spacing w:line="560" w:lineRule="exact"/>
              <w:jc w:val="left"/>
              <w:rPr>
                <w:rFonts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《黑土地质量数据汇交技术指南》</w:t>
            </w:r>
          </w:p>
        </w:tc>
      </w:tr>
      <w:tr w14:paraId="6F594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" w:type="dxa"/>
            <w:vAlign w:val="center"/>
          </w:tcPr>
          <w:p w14:paraId="3C88D15F">
            <w:pPr>
              <w:spacing w:line="560" w:lineRule="exact"/>
              <w:jc w:val="center"/>
              <w:rPr>
                <w:rFonts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5</w:t>
            </w:r>
          </w:p>
        </w:tc>
        <w:tc>
          <w:tcPr>
            <w:tcW w:w="7986" w:type="dxa"/>
          </w:tcPr>
          <w:p w14:paraId="67D4F21D">
            <w:pPr>
              <w:spacing w:line="560" w:lineRule="exact"/>
              <w:jc w:val="left"/>
              <w:rPr>
                <w:rFonts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《东北黑土层侵蚀变薄分级评价技术规范》</w:t>
            </w:r>
          </w:p>
        </w:tc>
      </w:tr>
      <w:tr w14:paraId="46C32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" w:type="dxa"/>
            <w:vAlign w:val="center"/>
          </w:tcPr>
          <w:p w14:paraId="2D56A22D">
            <w:pPr>
              <w:spacing w:line="560" w:lineRule="exact"/>
              <w:jc w:val="center"/>
              <w:rPr>
                <w:rFonts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6</w:t>
            </w:r>
          </w:p>
        </w:tc>
        <w:tc>
          <w:tcPr>
            <w:tcW w:w="7986" w:type="dxa"/>
          </w:tcPr>
          <w:p w14:paraId="6F9874BB">
            <w:pPr>
              <w:spacing w:line="560" w:lineRule="exact"/>
              <w:jc w:val="left"/>
              <w:rPr>
                <w:rFonts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《东北地区高标准农田建设质量评价技术指南》</w:t>
            </w:r>
          </w:p>
        </w:tc>
      </w:tr>
      <w:tr w14:paraId="5A319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" w:type="dxa"/>
            <w:vAlign w:val="center"/>
          </w:tcPr>
          <w:p w14:paraId="5117726E">
            <w:pPr>
              <w:spacing w:line="560" w:lineRule="exact"/>
              <w:jc w:val="center"/>
              <w:rPr>
                <w:rFonts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7</w:t>
            </w:r>
          </w:p>
        </w:tc>
        <w:tc>
          <w:tcPr>
            <w:tcW w:w="7986" w:type="dxa"/>
          </w:tcPr>
          <w:p w14:paraId="0B8DCE57">
            <w:pPr>
              <w:spacing w:line="560" w:lineRule="exact"/>
              <w:jc w:val="left"/>
              <w:rPr>
                <w:rFonts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《东北地区高标准农田建设成效跟踪评价技术指南》</w:t>
            </w:r>
          </w:p>
        </w:tc>
      </w:tr>
      <w:tr w14:paraId="7D72C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" w:type="dxa"/>
            <w:vAlign w:val="center"/>
          </w:tcPr>
          <w:p w14:paraId="06890560">
            <w:pPr>
              <w:spacing w:line="560" w:lineRule="exact"/>
              <w:jc w:val="center"/>
              <w:rPr>
                <w:rFonts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8</w:t>
            </w:r>
          </w:p>
        </w:tc>
        <w:tc>
          <w:tcPr>
            <w:tcW w:w="7986" w:type="dxa"/>
          </w:tcPr>
          <w:p w14:paraId="519FE075">
            <w:pPr>
              <w:spacing w:line="560" w:lineRule="exact"/>
              <w:jc w:val="left"/>
              <w:rPr>
                <w:rFonts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《</w:t>
            </w:r>
            <w:r>
              <w:rPr>
                <w:rFonts w:hint="eastAsia" w:eastAsia="仿宋_GB2312"/>
                <w:color w:val="000000"/>
                <w:sz w:val="32"/>
                <w:szCs w:val="32"/>
              </w:rPr>
              <w:t>西南冷凉山区酸化耕地生物改良技术规范</w:t>
            </w: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》</w:t>
            </w:r>
          </w:p>
        </w:tc>
      </w:tr>
      <w:tr w14:paraId="0871A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" w:type="dxa"/>
            <w:vAlign w:val="center"/>
          </w:tcPr>
          <w:p w14:paraId="5EFD99D2">
            <w:pPr>
              <w:spacing w:line="560" w:lineRule="exact"/>
              <w:jc w:val="center"/>
              <w:rPr>
                <w:rFonts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9</w:t>
            </w:r>
          </w:p>
        </w:tc>
        <w:tc>
          <w:tcPr>
            <w:tcW w:w="7986" w:type="dxa"/>
          </w:tcPr>
          <w:p w14:paraId="42030207">
            <w:pPr>
              <w:spacing w:line="560" w:lineRule="exact"/>
              <w:jc w:val="left"/>
              <w:rPr>
                <w:rFonts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《水浇地小麦-玉米一年两熟秸秆还田技术规范》</w:t>
            </w:r>
          </w:p>
        </w:tc>
      </w:tr>
      <w:tr w14:paraId="45FBD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" w:type="dxa"/>
            <w:vAlign w:val="center"/>
          </w:tcPr>
          <w:p w14:paraId="1C9DFDF8">
            <w:pPr>
              <w:spacing w:line="560" w:lineRule="exact"/>
              <w:jc w:val="center"/>
              <w:rPr>
                <w:rFonts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1</w:t>
            </w:r>
            <w:r>
              <w:rPr>
                <w:rFonts w:ascii="仿宋" w:hAnsi="仿宋" w:eastAsia="仿宋" w:cs="仿宋"/>
                <w:bCs/>
                <w:sz w:val="32"/>
                <w:szCs w:val="32"/>
              </w:rPr>
              <w:t>0</w:t>
            </w:r>
          </w:p>
        </w:tc>
        <w:tc>
          <w:tcPr>
            <w:tcW w:w="7986" w:type="dxa"/>
          </w:tcPr>
          <w:p w14:paraId="7424E1EA">
            <w:pPr>
              <w:spacing w:line="560" w:lineRule="exact"/>
              <w:jc w:val="left"/>
              <w:rPr>
                <w:rFonts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《烟草基追一体专用肥施用技术指南》</w:t>
            </w:r>
          </w:p>
        </w:tc>
      </w:tr>
      <w:tr w14:paraId="6F013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" w:type="dxa"/>
            <w:vAlign w:val="center"/>
          </w:tcPr>
          <w:p w14:paraId="69D1DC3F">
            <w:pPr>
              <w:spacing w:line="560" w:lineRule="exact"/>
              <w:jc w:val="center"/>
              <w:rPr>
                <w:rFonts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1</w:t>
            </w:r>
            <w:r>
              <w:rPr>
                <w:rFonts w:ascii="仿宋" w:hAnsi="仿宋" w:eastAsia="仿宋" w:cs="仿宋"/>
                <w:bCs/>
                <w:sz w:val="32"/>
                <w:szCs w:val="32"/>
              </w:rPr>
              <w:t>1</w:t>
            </w:r>
          </w:p>
        </w:tc>
        <w:tc>
          <w:tcPr>
            <w:tcW w:w="7986" w:type="dxa"/>
          </w:tcPr>
          <w:p w14:paraId="32FB5539">
            <w:pPr>
              <w:spacing w:line="560" w:lineRule="exact"/>
              <w:jc w:val="left"/>
              <w:rPr>
                <w:rFonts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《九华黄精绿色生产技术指南》</w:t>
            </w:r>
          </w:p>
        </w:tc>
      </w:tr>
      <w:tr w14:paraId="3EB7A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5" w:type="dxa"/>
            <w:vAlign w:val="center"/>
          </w:tcPr>
          <w:p w14:paraId="1771FF47">
            <w:pPr>
              <w:spacing w:line="560" w:lineRule="exact"/>
              <w:jc w:val="center"/>
              <w:rPr>
                <w:rFonts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1</w:t>
            </w:r>
            <w:r>
              <w:rPr>
                <w:rFonts w:ascii="仿宋" w:hAnsi="仿宋" w:eastAsia="仿宋" w:cs="仿宋"/>
                <w:bCs/>
                <w:sz w:val="32"/>
                <w:szCs w:val="32"/>
              </w:rPr>
              <w:t>2</w:t>
            </w:r>
          </w:p>
        </w:tc>
        <w:tc>
          <w:tcPr>
            <w:tcW w:w="7986" w:type="dxa"/>
          </w:tcPr>
          <w:p w14:paraId="0B5B0ABD">
            <w:pPr>
              <w:spacing w:line="560" w:lineRule="exact"/>
              <w:jc w:val="left"/>
              <w:rPr>
                <w:rFonts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《九华黄精有机种植技术指南》</w:t>
            </w:r>
          </w:p>
        </w:tc>
      </w:tr>
      <w:bookmarkEnd w:id="8"/>
    </w:tbl>
    <w:p w14:paraId="0CB83C0F">
      <w:pPr>
        <w:spacing w:line="40" w:lineRule="exact"/>
        <w:jc w:val="left"/>
        <w:rPr>
          <w:rFonts w:ascii="仿宋" w:hAnsi="仿宋" w:eastAsia="仿宋" w:cs="仿宋"/>
          <w:color w:val="424849"/>
          <w:sz w:val="10"/>
          <w:szCs w:val="10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730385473"/>
      <w:docPartObj>
        <w:docPartGallery w:val="AutoText"/>
      </w:docPartObj>
    </w:sdtPr>
    <w:sdtContent>
      <w:p w14:paraId="0FDCCEBF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11F0AE17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567088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E1072A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FC815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98B320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4FBC87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RjYTQ1ZGVhMjI1MTI4ZWUzNjEwOGVjMjhjMTE2YzIifQ=="/>
  </w:docVars>
  <w:rsids>
    <w:rsidRoot w:val="008A094A"/>
    <w:rsid w:val="00047D20"/>
    <w:rsid w:val="00055358"/>
    <w:rsid w:val="000A006C"/>
    <w:rsid w:val="000E018D"/>
    <w:rsid w:val="001109FA"/>
    <w:rsid w:val="00173FED"/>
    <w:rsid w:val="001A6642"/>
    <w:rsid w:val="001C58B7"/>
    <w:rsid w:val="00211AFB"/>
    <w:rsid w:val="002329E1"/>
    <w:rsid w:val="0024728D"/>
    <w:rsid w:val="002506E1"/>
    <w:rsid w:val="00285955"/>
    <w:rsid w:val="002A6A3A"/>
    <w:rsid w:val="002B1295"/>
    <w:rsid w:val="002D69DB"/>
    <w:rsid w:val="0030309C"/>
    <w:rsid w:val="00346CFF"/>
    <w:rsid w:val="004122BE"/>
    <w:rsid w:val="00455E96"/>
    <w:rsid w:val="0045657D"/>
    <w:rsid w:val="0046197B"/>
    <w:rsid w:val="004B3383"/>
    <w:rsid w:val="004C50F3"/>
    <w:rsid w:val="004F29B2"/>
    <w:rsid w:val="005459F2"/>
    <w:rsid w:val="0056744E"/>
    <w:rsid w:val="005814F2"/>
    <w:rsid w:val="0058524D"/>
    <w:rsid w:val="005A1994"/>
    <w:rsid w:val="005A1A8B"/>
    <w:rsid w:val="005A3568"/>
    <w:rsid w:val="005C28AE"/>
    <w:rsid w:val="00606B34"/>
    <w:rsid w:val="00610750"/>
    <w:rsid w:val="00707E6B"/>
    <w:rsid w:val="00716DE8"/>
    <w:rsid w:val="007442D1"/>
    <w:rsid w:val="007555EF"/>
    <w:rsid w:val="00760475"/>
    <w:rsid w:val="007903EB"/>
    <w:rsid w:val="007D0F62"/>
    <w:rsid w:val="007E74D7"/>
    <w:rsid w:val="00830D67"/>
    <w:rsid w:val="00857D63"/>
    <w:rsid w:val="00881780"/>
    <w:rsid w:val="008924AD"/>
    <w:rsid w:val="0089370F"/>
    <w:rsid w:val="008A094A"/>
    <w:rsid w:val="008D2C70"/>
    <w:rsid w:val="008F5902"/>
    <w:rsid w:val="00937CD6"/>
    <w:rsid w:val="0096681A"/>
    <w:rsid w:val="009737B0"/>
    <w:rsid w:val="00983767"/>
    <w:rsid w:val="0099027B"/>
    <w:rsid w:val="009952F9"/>
    <w:rsid w:val="009972B0"/>
    <w:rsid w:val="009C3919"/>
    <w:rsid w:val="009E2010"/>
    <w:rsid w:val="00A16C4D"/>
    <w:rsid w:val="00A221A4"/>
    <w:rsid w:val="00A2353B"/>
    <w:rsid w:val="00A6445F"/>
    <w:rsid w:val="00A65F89"/>
    <w:rsid w:val="00A670AD"/>
    <w:rsid w:val="00A85B07"/>
    <w:rsid w:val="00B02750"/>
    <w:rsid w:val="00B23D10"/>
    <w:rsid w:val="00B51043"/>
    <w:rsid w:val="00B7575B"/>
    <w:rsid w:val="00B8138D"/>
    <w:rsid w:val="00BF24BA"/>
    <w:rsid w:val="00BF6093"/>
    <w:rsid w:val="00C05366"/>
    <w:rsid w:val="00C153D1"/>
    <w:rsid w:val="00C45085"/>
    <w:rsid w:val="00C54CA8"/>
    <w:rsid w:val="00C95D7D"/>
    <w:rsid w:val="00CA125C"/>
    <w:rsid w:val="00CC140A"/>
    <w:rsid w:val="00D0375A"/>
    <w:rsid w:val="00D32B6C"/>
    <w:rsid w:val="00D6609C"/>
    <w:rsid w:val="00E1519E"/>
    <w:rsid w:val="00E4671C"/>
    <w:rsid w:val="00E7327D"/>
    <w:rsid w:val="00EC1E1B"/>
    <w:rsid w:val="00EE5C90"/>
    <w:rsid w:val="00F229B5"/>
    <w:rsid w:val="00F455C4"/>
    <w:rsid w:val="00F7069E"/>
    <w:rsid w:val="00FB4441"/>
    <w:rsid w:val="00FB5654"/>
    <w:rsid w:val="00FF1912"/>
    <w:rsid w:val="0B667E81"/>
    <w:rsid w:val="0DBD69B0"/>
    <w:rsid w:val="1E325779"/>
    <w:rsid w:val="28C579DB"/>
    <w:rsid w:val="2F745D2F"/>
    <w:rsid w:val="40D47A68"/>
    <w:rsid w:val="65962C14"/>
    <w:rsid w:val="672755CB"/>
    <w:rsid w:val="7479589F"/>
    <w:rsid w:val="78F9378E"/>
    <w:rsid w:val="7F0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5"/>
    <w:semiHidden/>
    <w:unhideWhenUsed/>
    <w:uiPriority w:val="99"/>
    <w:pPr>
      <w:ind w:left="100" w:leftChars="2500"/>
    </w:pPr>
  </w:style>
  <w:style w:type="paragraph" w:styleId="3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Unresolved Mention"/>
    <w:basedOn w:val="9"/>
    <w:semiHidden/>
    <w:unhideWhenUsed/>
    <w:uiPriority w:val="99"/>
    <w:rPr>
      <w:color w:val="605E5C"/>
      <w:shd w:val="clear" w:color="auto" w:fill="E1DFDD"/>
    </w:rPr>
  </w:style>
  <w:style w:type="character" w:customStyle="1" w:styleId="14">
    <w:name w:val="批注框文本 字符"/>
    <w:basedOn w:val="9"/>
    <w:link w:val="3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15">
    <w:name w:val="日期 字符"/>
    <w:basedOn w:val="9"/>
    <w:link w:val="2"/>
    <w:semiHidden/>
    <w:qFormat/>
    <w:uiPriority w:val="99"/>
    <w:rPr>
      <w:rFonts w:ascii="Calibri" w:hAnsi="Calibri" w:eastAsia="宋体" w:cs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673</Words>
  <Characters>727</Characters>
  <Lines>6</Lines>
  <Paragraphs>1</Paragraphs>
  <TotalTime>11</TotalTime>
  <ScaleCrop>false</ScaleCrop>
  <LinksUpToDate>false</LinksUpToDate>
  <CharactersWithSpaces>734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2024-05-20T03:50:00Z</dcterms:created>
  <dc:creator>LLL</dc:creator>
  <cp:lastModifiedBy>李思涵</cp:lastModifiedBy>
  <cp:lastPrinted>2025-06-27T03:21:00Z</cp:lastPrinted>
  <dcterms:modified xsi:type="dcterms:W3CDTF">2026-07-28T08:26:57Z</dcterms:modified>
  <cp:revision>42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5BA232DF7AFF4363B7CB630A09D56649_13</vt:lpwstr>
  </property>
  <property fmtid="{D5CDD505-2E9C-101B-9397-08002B2CF9AE}" pid="4" name="KSOTemplateDocerSaveRecord">
    <vt:lpwstr>eyJoZGlkIjoiMGI4NjE2MDYxOWIxMjdiMWRkODkwNWJlZGNkNDk2NmMiLCJ1c2VySWQiOiIxNjcyOTcyNzA0In0=</vt:lpwstr>
  </property>
</Properties>
</file>